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widowControl w:val="0"/>
        <w:tabs>
          <w:tab w:val="left" w:leader="none" w:pos="1304"/>
          <w:tab w:val="left" w:leader="none" w:pos="2608"/>
          <w:tab w:val="left" w:leader="none" w:pos="3912"/>
          <w:tab w:val="left" w:leader="none" w:pos="5216"/>
          <w:tab w:val="left" w:leader="none" w:pos="6520"/>
          <w:tab w:val="left" w:leader="none" w:pos="7824"/>
          <w:tab w:val="left" w:leader="none" w:pos="9128"/>
        </w:tabs>
        <w:spacing w:line="276" w:lineRule="auto"/>
        <w:rPr/>
      </w:pPr>
      <w:bookmarkStart w:colFirst="0" w:colLast="0" w:name="_mcdhg35vumi5" w:id="0"/>
      <w:bookmarkEnd w:id="0"/>
      <w:r w:rsidDel="00000000" w:rsidR="00000000" w:rsidRPr="00000000">
        <w:rPr>
          <w:rtl w:val="0"/>
        </w:rPr>
        <w:t xml:space="preserve">Opiskelijoiden Liikuntaliiton </w:t>
      </w:r>
      <w:r w:rsidDel="00000000" w:rsidR="00000000" w:rsidRPr="00000000">
        <w:rPr>
          <w:rtl w:val="0"/>
        </w:rPr>
        <w:t xml:space="preserve">eurovaali</w:t>
      </w:r>
      <w:r w:rsidDel="00000000" w:rsidR="00000000" w:rsidRPr="00000000">
        <w:rPr>
          <w:rtl w:val="0"/>
        </w:rPr>
        <w:t xml:space="preserve">teemat ja taustapaperi 2024</w:t>
      </w:r>
    </w:p>
    <w:p w:rsidR="00000000" w:rsidDel="00000000" w:rsidP="00000000" w:rsidRDefault="00000000" w:rsidRPr="00000000" w14:paraId="00000002">
      <w:pPr>
        <w:tabs>
          <w:tab w:val="left" w:leader="none" w:pos="1304"/>
          <w:tab w:val="left" w:leader="none" w:pos="2608"/>
          <w:tab w:val="left" w:leader="none" w:pos="3912"/>
          <w:tab w:val="left" w:leader="none" w:pos="5216"/>
          <w:tab w:val="left" w:leader="none" w:pos="6520"/>
          <w:tab w:val="left" w:leader="none" w:pos="7824"/>
          <w:tab w:val="left" w:leader="none" w:pos="9128"/>
        </w:tabs>
        <w:rPr/>
      </w:pPr>
      <w:r w:rsidDel="00000000" w:rsidR="00000000" w:rsidRPr="00000000">
        <w:rPr>
          <w:rtl w:val="0"/>
        </w:rPr>
      </w:r>
    </w:p>
    <w:p w:rsidR="00000000" w:rsidDel="00000000" w:rsidP="00000000" w:rsidRDefault="00000000" w:rsidRPr="00000000" w14:paraId="00000003">
      <w:pPr>
        <w:tabs>
          <w:tab w:val="left" w:leader="none" w:pos="1304"/>
          <w:tab w:val="left" w:leader="none" w:pos="2608"/>
          <w:tab w:val="left" w:leader="none" w:pos="3912"/>
          <w:tab w:val="left" w:leader="none" w:pos="5216"/>
          <w:tab w:val="left" w:leader="none" w:pos="6520"/>
          <w:tab w:val="left" w:leader="none" w:pos="7824"/>
          <w:tab w:val="left" w:leader="none" w:pos="9128"/>
        </w:tabs>
        <w:rPr/>
      </w:pPr>
      <w:r w:rsidDel="00000000" w:rsidR="00000000" w:rsidRPr="00000000">
        <w:rPr>
          <w:rtl w:val="0"/>
        </w:rPr>
      </w:r>
    </w:p>
    <w:p w:rsidR="00000000" w:rsidDel="00000000" w:rsidP="00000000" w:rsidRDefault="00000000" w:rsidRPr="00000000" w14:paraId="00000004">
      <w:pPr>
        <w:tabs>
          <w:tab w:val="left" w:leader="none" w:pos="1304"/>
          <w:tab w:val="left" w:leader="none" w:pos="2608"/>
          <w:tab w:val="left" w:leader="none" w:pos="3912"/>
          <w:tab w:val="left" w:leader="none" w:pos="5216"/>
          <w:tab w:val="left" w:leader="none" w:pos="6520"/>
          <w:tab w:val="left" w:leader="none" w:pos="7824"/>
          <w:tab w:val="left" w:leader="none" w:pos="9128"/>
        </w:tabs>
        <w:rPr>
          <w:b w:val="1"/>
        </w:rPr>
      </w:pPr>
      <w:r w:rsidDel="00000000" w:rsidR="00000000" w:rsidRPr="00000000">
        <w:rPr>
          <w:b w:val="1"/>
          <w:rtl w:val="0"/>
        </w:rPr>
        <w:t xml:space="preserve">Suomi on Euroopan kärkeä liikkumisen määrässä, mutta meilläkin jopa 54 prosenttia korkeakouluopiskelijoista liikkuu terveytensä kannalta liian vähän. Opiskelijat myös istuvat keskimäärin 11 tuntia päivässä.</w:t>
      </w:r>
    </w:p>
    <w:p w:rsidR="00000000" w:rsidDel="00000000" w:rsidP="00000000" w:rsidRDefault="00000000" w:rsidRPr="00000000" w14:paraId="00000005">
      <w:pPr>
        <w:tabs>
          <w:tab w:val="left" w:leader="none" w:pos="1304"/>
          <w:tab w:val="left" w:leader="none" w:pos="2608"/>
          <w:tab w:val="left" w:leader="none" w:pos="3912"/>
          <w:tab w:val="left" w:leader="none" w:pos="5216"/>
          <w:tab w:val="left" w:leader="none" w:pos="6520"/>
          <w:tab w:val="left" w:leader="none" w:pos="7824"/>
          <w:tab w:val="left" w:leader="none" w:pos="9128"/>
        </w:tabs>
        <w:rPr/>
      </w:pPr>
      <w:r w:rsidDel="00000000" w:rsidR="00000000" w:rsidRPr="00000000">
        <w:rPr>
          <w:rtl w:val="0"/>
        </w:rPr>
      </w:r>
    </w:p>
    <w:p w:rsidR="00000000" w:rsidDel="00000000" w:rsidP="00000000" w:rsidRDefault="00000000" w:rsidRPr="00000000" w14:paraId="00000006">
      <w:pPr>
        <w:tabs>
          <w:tab w:val="left" w:leader="none" w:pos="1304"/>
          <w:tab w:val="left" w:leader="none" w:pos="2608"/>
          <w:tab w:val="left" w:leader="none" w:pos="3912"/>
          <w:tab w:val="left" w:leader="none" w:pos="5216"/>
          <w:tab w:val="left" w:leader="none" w:pos="6520"/>
          <w:tab w:val="left" w:leader="none" w:pos="7824"/>
          <w:tab w:val="left" w:leader="none" w:pos="9128"/>
        </w:tabs>
        <w:rPr/>
      </w:pPr>
      <w:r w:rsidDel="00000000" w:rsidR="00000000" w:rsidRPr="00000000">
        <w:rPr>
          <w:rtl w:val="0"/>
        </w:rPr>
        <w:t xml:space="preserve">EU:n tulee edistää fyysistä ja psyykkistä hyvinvointia tukevaa liikkumista. Opiskelijoiden Liikuntaliitto (OLL) kannustaa europarlamentaarikkoja edistämään liikunnallista elämäntapaa esimerkiksi näillä keinoilla:</w:t>
      </w:r>
    </w:p>
    <w:p w:rsidR="00000000" w:rsidDel="00000000" w:rsidP="00000000" w:rsidRDefault="00000000" w:rsidRPr="00000000" w14:paraId="00000007">
      <w:pPr>
        <w:tabs>
          <w:tab w:val="left" w:leader="none" w:pos="1304"/>
          <w:tab w:val="left" w:leader="none" w:pos="2608"/>
          <w:tab w:val="left" w:leader="none" w:pos="3912"/>
          <w:tab w:val="left" w:leader="none" w:pos="5216"/>
          <w:tab w:val="left" w:leader="none" w:pos="6520"/>
          <w:tab w:val="left" w:leader="none" w:pos="7824"/>
          <w:tab w:val="left" w:leader="none" w:pos="9128"/>
        </w:tabs>
        <w:rPr/>
      </w:pPr>
      <w:r w:rsidDel="00000000" w:rsidR="00000000" w:rsidRPr="00000000">
        <w:rPr>
          <w:rtl w:val="0"/>
        </w:rPr>
      </w:r>
    </w:p>
    <w:p w:rsidR="00000000" w:rsidDel="00000000" w:rsidP="00000000" w:rsidRDefault="00000000" w:rsidRPr="00000000" w14:paraId="00000008">
      <w:pPr>
        <w:numPr>
          <w:ilvl w:val="0"/>
          <w:numId w:val="1"/>
        </w:numPr>
        <w:tabs>
          <w:tab w:val="left" w:leader="none" w:pos="1304"/>
          <w:tab w:val="left" w:leader="none" w:pos="2608"/>
          <w:tab w:val="left" w:leader="none" w:pos="3912"/>
          <w:tab w:val="left" w:leader="none" w:pos="5216"/>
          <w:tab w:val="left" w:leader="none" w:pos="6520"/>
          <w:tab w:val="left" w:leader="none" w:pos="7824"/>
          <w:tab w:val="left" w:leader="none" w:pos="9128"/>
        </w:tabs>
        <w:ind w:left="720" w:hanging="360"/>
        <w:rPr>
          <w:u w:val="none"/>
        </w:rPr>
      </w:pPr>
      <w:r w:rsidDel="00000000" w:rsidR="00000000" w:rsidRPr="00000000">
        <w:rPr>
          <w:rtl w:val="0"/>
        </w:rPr>
        <w:t xml:space="preserve">Arkiliikkumisen ja matalan kynnyksen liikkumismahdollisuuksien merkitystä tulee lisätä EU:ssa poikkihallinnollisesti urheilupolitiikan rinnalla.</w:t>
      </w:r>
    </w:p>
    <w:p w:rsidR="00000000" w:rsidDel="00000000" w:rsidP="00000000" w:rsidRDefault="00000000" w:rsidRPr="00000000" w14:paraId="00000009">
      <w:pPr>
        <w:tabs>
          <w:tab w:val="left" w:leader="none" w:pos="1304"/>
          <w:tab w:val="left" w:leader="none" w:pos="2608"/>
          <w:tab w:val="left" w:leader="none" w:pos="3912"/>
          <w:tab w:val="left" w:leader="none" w:pos="5216"/>
          <w:tab w:val="left" w:leader="none" w:pos="6520"/>
          <w:tab w:val="left" w:leader="none" w:pos="7824"/>
          <w:tab w:val="left" w:leader="none" w:pos="9128"/>
        </w:tabs>
        <w:rPr/>
      </w:pPr>
      <w:r w:rsidDel="00000000" w:rsidR="00000000" w:rsidRPr="00000000">
        <w:rPr>
          <w:rtl w:val="0"/>
        </w:rPr>
      </w:r>
    </w:p>
    <w:p w:rsidR="00000000" w:rsidDel="00000000" w:rsidP="00000000" w:rsidRDefault="00000000" w:rsidRPr="00000000" w14:paraId="0000000A">
      <w:pPr>
        <w:numPr>
          <w:ilvl w:val="0"/>
          <w:numId w:val="1"/>
        </w:numPr>
        <w:tabs>
          <w:tab w:val="left" w:leader="none" w:pos="1304"/>
          <w:tab w:val="left" w:leader="none" w:pos="2608"/>
          <w:tab w:val="left" w:leader="none" w:pos="3912"/>
          <w:tab w:val="left" w:leader="none" w:pos="5216"/>
          <w:tab w:val="left" w:leader="none" w:pos="6520"/>
          <w:tab w:val="left" w:leader="none" w:pos="7824"/>
          <w:tab w:val="left" w:leader="none" w:pos="9128"/>
        </w:tabs>
        <w:ind w:left="720" w:hanging="360"/>
        <w:rPr>
          <w:u w:val="none"/>
        </w:rPr>
      </w:pPr>
      <w:r w:rsidDel="00000000" w:rsidR="00000000" w:rsidRPr="00000000">
        <w:rPr>
          <w:rtl w:val="0"/>
        </w:rPr>
        <w:t xml:space="preserve">Korkeakoulujen ja muiden opiskelijoita liikuttavien toimijoiden rahoitusmahdollisuudet liikkumisen edistämiseksi tulee turvata. Muun muassa Erasmus+-ohjelmalla rahoitetaan korkeakoulujen kehittämishankkeita ja verkostotoimintaa.</w:t>
      </w:r>
    </w:p>
    <w:p w:rsidR="00000000" w:rsidDel="00000000" w:rsidP="00000000" w:rsidRDefault="00000000" w:rsidRPr="00000000" w14:paraId="0000000B">
      <w:pPr>
        <w:tabs>
          <w:tab w:val="left" w:leader="none" w:pos="1304"/>
          <w:tab w:val="left" w:leader="none" w:pos="2608"/>
          <w:tab w:val="left" w:leader="none" w:pos="3912"/>
          <w:tab w:val="left" w:leader="none" w:pos="5216"/>
          <w:tab w:val="left" w:leader="none" w:pos="6520"/>
          <w:tab w:val="left" w:leader="none" w:pos="7824"/>
          <w:tab w:val="left" w:leader="none" w:pos="9128"/>
        </w:tabs>
        <w:ind w:left="0" w:firstLine="0"/>
        <w:rPr/>
      </w:pPr>
      <w:r w:rsidDel="00000000" w:rsidR="00000000" w:rsidRPr="00000000">
        <w:rPr>
          <w:rtl w:val="0"/>
        </w:rPr>
      </w:r>
    </w:p>
    <w:p w:rsidR="00000000" w:rsidDel="00000000" w:rsidP="00000000" w:rsidRDefault="00000000" w:rsidRPr="00000000" w14:paraId="0000000C">
      <w:pPr>
        <w:numPr>
          <w:ilvl w:val="0"/>
          <w:numId w:val="1"/>
        </w:numPr>
        <w:tabs>
          <w:tab w:val="left" w:leader="none" w:pos="1304"/>
          <w:tab w:val="left" w:leader="none" w:pos="2608"/>
          <w:tab w:val="left" w:leader="none" w:pos="3912"/>
          <w:tab w:val="left" w:leader="none" w:pos="5216"/>
          <w:tab w:val="left" w:leader="none" w:pos="6520"/>
          <w:tab w:val="left" w:leader="none" w:pos="7824"/>
          <w:tab w:val="left" w:leader="none" w:pos="9128"/>
        </w:tabs>
        <w:ind w:left="720" w:hanging="360"/>
        <w:rPr>
          <w:u w:val="none"/>
        </w:rPr>
      </w:pPr>
      <w:r w:rsidDel="00000000" w:rsidR="00000000" w:rsidRPr="00000000">
        <w:rPr>
          <w:rFonts w:ascii="Arial" w:cs="Arial" w:eastAsia="Arial" w:hAnsi="Arial"/>
          <w:rtl w:val="0"/>
        </w:rPr>
        <w:t xml:space="preserve">Suomalaisten europarlamentaarikkojen tulee hakeutua jäseniksi europarlamentin CULT-valiokuntaan sekä muihin liikkumisen ja korkeakouluopiskelijoiden kannalta olennaisiin toimielimiin.</w:t>
      </w:r>
    </w:p>
    <w:p w:rsidR="00000000" w:rsidDel="00000000" w:rsidP="00000000" w:rsidRDefault="00000000" w:rsidRPr="00000000" w14:paraId="0000000D">
      <w:pPr>
        <w:tabs>
          <w:tab w:val="left" w:leader="none" w:pos="1304"/>
          <w:tab w:val="left" w:leader="none" w:pos="2608"/>
          <w:tab w:val="left" w:leader="none" w:pos="3912"/>
          <w:tab w:val="left" w:leader="none" w:pos="5216"/>
          <w:tab w:val="left" w:leader="none" w:pos="6520"/>
          <w:tab w:val="left" w:leader="none" w:pos="7824"/>
          <w:tab w:val="left" w:leader="none" w:pos="9128"/>
        </w:tabs>
        <w:rPr/>
      </w:pPr>
      <w:r w:rsidDel="00000000" w:rsidR="00000000" w:rsidRPr="00000000">
        <w:rPr>
          <w:rtl w:val="0"/>
        </w:rPr>
      </w:r>
    </w:p>
    <w:p w:rsidR="00000000" w:rsidDel="00000000" w:rsidP="00000000" w:rsidRDefault="00000000" w:rsidRPr="00000000" w14:paraId="0000000E">
      <w:pPr>
        <w:tabs>
          <w:tab w:val="left" w:leader="none" w:pos="1304"/>
          <w:tab w:val="left" w:leader="none" w:pos="2608"/>
          <w:tab w:val="left" w:leader="none" w:pos="3912"/>
          <w:tab w:val="left" w:leader="none" w:pos="5216"/>
          <w:tab w:val="left" w:leader="none" w:pos="6520"/>
          <w:tab w:val="left" w:leader="none" w:pos="7824"/>
          <w:tab w:val="left" w:leader="none" w:pos="9128"/>
        </w:tabs>
        <w:rPr/>
      </w:pPr>
      <w:r w:rsidDel="00000000" w:rsidR="00000000" w:rsidRPr="00000000">
        <w:rPr>
          <w:rtl w:val="0"/>
        </w:rPr>
      </w:r>
    </w:p>
    <w:p w:rsidR="00000000" w:rsidDel="00000000" w:rsidP="00000000" w:rsidRDefault="00000000" w:rsidRPr="00000000" w14:paraId="0000000F">
      <w:pPr>
        <w:pStyle w:val="Heading1"/>
        <w:tabs>
          <w:tab w:val="left" w:leader="none" w:pos="1304"/>
          <w:tab w:val="left" w:leader="none" w:pos="2608"/>
          <w:tab w:val="left" w:leader="none" w:pos="3912"/>
          <w:tab w:val="left" w:leader="none" w:pos="5216"/>
          <w:tab w:val="left" w:leader="none" w:pos="6520"/>
          <w:tab w:val="left" w:leader="none" w:pos="7824"/>
          <w:tab w:val="left" w:leader="none" w:pos="9128"/>
        </w:tabs>
        <w:rPr/>
      </w:pPr>
      <w:bookmarkStart w:colFirst="0" w:colLast="0" w:name="_rpqzhk4xz4gf" w:id="1"/>
      <w:bookmarkEnd w:id="1"/>
      <w:r w:rsidDel="00000000" w:rsidR="00000000" w:rsidRPr="00000000">
        <w:br w:type="page"/>
      </w:r>
      <w:r w:rsidDel="00000000" w:rsidR="00000000" w:rsidRPr="00000000">
        <w:rPr>
          <w:rtl w:val="0"/>
        </w:rPr>
      </w:r>
    </w:p>
    <w:p w:rsidR="00000000" w:rsidDel="00000000" w:rsidP="00000000" w:rsidRDefault="00000000" w:rsidRPr="00000000" w14:paraId="00000010">
      <w:pPr>
        <w:pStyle w:val="Heading1"/>
        <w:tabs>
          <w:tab w:val="left" w:leader="none" w:pos="1304"/>
          <w:tab w:val="left" w:leader="none" w:pos="2608"/>
          <w:tab w:val="left" w:leader="none" w:pos="3912"/>
          <w:tab w:val="left" w:leader="none" w:pos="5216"/>
          <w:tab w:val="left" w:leader="none" w:pos="6520"/>
          <w:tab w:val="left" w:leader="none" w:pos="7824"/>
          <w:tab w:val="left" w:leader="none" w:pos="9128"/>
        </w:tabs>
        <w:rPr/>
      </w:pPr>
      <w:bookmarkStart w:colFirst="0" w:colLast="0" w:name="_uaakq5xhd1yb" w:id="2"/>
      <w:bookmarkEnd w:id="2"/>
      <w:r w:rsidDel="00000000" w:rsidR="00000000" w:rsidRPr="00000000">
        <w:rPr>
          <w:rtl w:val="0"/>
        </w:rPr>
        <w:t xml:space="preserve">Taustaa vaaliteemoille</w:t>
      </w:r>
    </w:p>
    <w:p w:rsidR="00000000" w:rsidDel="00000000" w:rsidP="00000000" w:rsidRDefault="00000000" w:rsidRPr="00000000" w14:paraId="00000011">
      <w:pPr>
        <w:jc w:val="both"/>
        <w:rPr>
          <w:b w:val="1"/>
        </w:rPr>
      </w:pPr>
      <w:r w:rsidDel="00000000" w:rsidR="00000000" w:rsidRPr="00000000">
        <w:rPr>
          <w:b w:val="1"/>
          <w:rtl w:val="0"/>
        </w:rPr>
        <w:t xml:space="preserve">Opiskelijoiden Liikuntaliiton (OLL) mielestä eurovaaleissa on syytä nostaa esiin liikkumattomuuden ongelma ja vaatimukset sen ratkaisemiseksi.</w:t>
      </w:r>
    </w:p>
    <w:p w:rsidR="00000000" w:rsidDel="00000000" w:rsidP="00000000" w:rsidRDefault="00000000" w:rsidRPr="00000000" w14:paraId="00000012">
      <w:pPr>
        <w:tabs>
          <w:tab w:val="left" w:leader="none" w:pos="1304"/>
          <w:tab w:val="left" w:leader="none" w:pos="2608"/>
          <w:tab w:val="left" w:leader="none" w:pos="3912"/>
          <w:tab w:val="left" w:leader="none" w:pos="5216"/>
          <w:tab w:val="left" w:leader="none" w:pos="6520"/>
          <w:tab w:val="left" w:leader="none" w:pos="7824"/>
          <w:tab w:val="left" w:leader="none" w:pos="9128"/>
        </w:tabs>
        <w:jc w:val="both"/>
        <w:rPr/>
      </w:pPr>
      <w:r w:rsidDel="00000000" w:rsidR="00000000" w:rsidRPr="00000000">
        <w:rPr>
          <w:rtl w:val="0"/>
        </w:rPr>
      </w:r>
    </w:p>
    <w:p w:rsidR="00000000" w:rsidDel="00000000" w:rsidP="00000000" w:rsidRDefault="00000000" w:rsidRPr="00000000" w14:paraId="00000013">
      <w:pPr>
        <w:tabs>
          <w:tab w:val="left" w:leader="none" w:pos="1304"/>
          <w:tab w:val="left" w:leader="none" w:pos="2608"/>
          <w:tab w:val="left" w:leader="none" w:pos="3912"/>
          <w:tab w:val="left" w:leader="none" w:pos="5216"/>
          <w:tab w:val="left" w:leader="none" w:pos="6520"/>
          <w:tab w:val="left" w:leader="none" w:pos="7824"/>
          <w:tab w:val="left" w:leader="none" w:pos="9128"/>
        </w:tabs>
        <w:spacing w:line="276" w:lineRule="auto"/>
        <w:jc w:val="both"/>
        <w:rPr/>
      </w:pPr>
      <w:r w:rsidDel="00000000" w:rsidR="00000000" w:rsidRPr="00000000">
        <w:rPr>
          <w:rtl w:val="0"/>
        </w:rPr>
        <w:t xml:space="preserve">OLL:n liikuntapoliittisen linjapaperi korostaa terveys- ja harrasteliikunnan rooleja tärkeimpänä osana korkeakoulujen liikuntapalveluita. Linjapaperin mukaan EU:n tulee jatkossakin tukea korkeakoulujen liikuntatoimien välisiä yhteistyöprojekteja sekä  verkostotoimintaa.</w:t>
      </w:r>
    </w:p>
    <w:p w:rsidR="00000000" w:rsidDel="00000000" w:rsidP="00000000" w:rsidRDefault="00000000" w:rsidRPr="00000000" w14:paraId="00000014">
      <w:pPr>
        <w:tabs>
          <w:tab w:val="left" w:leader="none" w:pos="1304"/>
          <w:tab w:val="left" w:leader="none" w:pos="2608"/>
          <w:tab w:val="left" w:leader="none" w:pos="3912"/>
          <w:tab w:val="left" w:leader="none" w:pos="5216"/>
          <w:tab w:val="left" w:leader="none" w:pos="6520"/>
          <w:tab w:val="left" w:leader="none" w:pos="7824"/>
          <w:tab w:val="left" w:leader="none" w:pos="9128"/>
        </w:tabs>
        <w:jc w:val="both"/>
        <w:rPr>
          <w:rFonts w:ascii="Arial" w:cs="Arial" w:eastAsia="Arial" w:hAnsi="Arial"/>
          <w:color w:val="4f5b62"/>
        </w:rPr>
      </w:pPr>
      <w:r w:rsidDel="00000000" w:rsidR="00000000" w:rsidRPr="00000000">
        <w:rPr>
          <w:rtl w:val="0"/>
        </w:rPr>
      </w:r>
    </w:p>
    <w:p w:rsidR="00000000" w:rsidDel="00000000" w:rsidP="00000000" w:rsidRDefault="00000000" w:rsidRPr="00000000" w14:paraId="00000015">
      <w:pPr>
        <w:tabs>
          <w:tab w:val="left" w:leader="none" w:pos="1304"/>
          <w:tab w:val="left" w:leader="none" w:pos="2608"/>
          <w:tab w:val="left" w:leader="none" w:pos="3912"/>
          <w:tab w:val="left" w:leader="none" w:pos="5216"/>
          <w:tab w:val="left" w:leader="none" w:pos="6520"/>
          <w:tab w:val="left" w:leader="none" w:pos="7824"/>
          <w:tab w:val="left" w:leader="none" w:pos="9128"/>
        </w:tabs>
        <w:jc w:val="both"/>
        <w:rPr/>
      </w:pPr>
      <w:r w:rsidDel="00000000" w:rsidR="00000000" w:rsidRPr="00000000">
        <w:rPr>
          <w:rtl w:val="0"/>
        </w:rPr>
        <w:t xml:space="preserve">OLL on Euroopan opiskelijaurheiluliitto EUSAn jäsen (European University Sport Association), jonka opiskelijakomiteassa toimii OLL:n esittämä jäsen. Liitto on jäsenenä kansainvälisessä opiskelijaurheiluliitto FISU:ssa (International University Sports Federation), jonka kotipaikka on Sveitsissä ja jonka opiskelijakomiteassa toimii niin ikään suomalainen edustaja. OLL toimii myös eurooppalaisessa korkeakoululiikunnan yhteistoimintaverkostossa ENASissa (European Network of Academic Sport Services). Liitto on myös osallistunut Euroopan urheiluviikkoon Erasmus+-ohjelman kumppanina viimeksi vuonna 2023.</w:t>
      </w:r>
    </w:p>
    <w:p w:rsidR="00000000" w:rsidDel="00000000" w:rsidP="00000000" w:rsidRDefault="00000000" w:rsidRPr="00000000" w14:paraId="00000016">
      <w:pPr>
        <w:tabs>
          <w:tab w:val="left" w:leader="none" w:pos="1304"/>
          <w:tab w:val="left" w:leader="none" w:pos="2608"/>
          <w:tab w:val="left" w:leader="none" w:pos="3912"/>
          <w:tab w:val="left" w:leader="none" w:pos="5216"/>
          <w:tab w:val="left" w:leader="none" w:pos="6520"/>
          <w:tab w:val="left" w:leader="none" w:pos="7824"/>
          <w:tab w:val="left" w:leader="none" w:pos="9128"/>
        </w:tabs>
        <w:jc w:val="both"/>
        <w:rPr/>
      </w:pPr>
      <w:r w:rsidDel="00000000" w:rsidR="00000000" w:rsidRPr="00000000">
        <w:rPr>
          <w:rtl w:val="0"/>
        </w:rPr>
      </w:r>
    </w:p>
    <w:p w:rsidR="00000000" w:rsidDel="00000000" w:rsidP="00000000" w:rsidRDefault="00000000" w:rsidRPr="00000000" w14:paraId="00000017">
      <w:pPr>
        <w:pStyle w:val="Heading2"/>
        <w:tabs>
          <w:tab w:val="left" w:leader="none" w:pos="1304"/>
          <w:tab w:val="left" w:leader="none" w:pos="2608"/>
          <w:tab w:val="left" w:leader="none" w:pos="3912"/>
          <w:tab w:val="left" w:leader="none" w:pos="5216"/>
          <w:tab w:val="left" w:leader="none" w:pos="6520"/>
          <w:tab w:val="left" w:leader="none" w:pos="7824"/>
          <w:tab w:val="left" w:leader="none" w:pos="9128"/>
        </w:tabs>
        <w:jc w:val="both"/>
        <w:rPr/>
      </w:pPr>
      <w:bookmarkStart w:colFirst="0" w:colLast="0" w:name="_svbqmgv4em81" w:id="3"/>
      <w:bookmarkEnd w:id="3"/>
      <w:r w:rsidDel="00000000" w:rsidR="00000000" w:rsidRPr="00000000">
        <w:rPr>
          <w:rtl w:val="0"/>
        </w:rPr>
        <w:t xml:space="preserve">Liikuntapolitiikka Euroopan unionissa</w:t>
      </w:r>
    </w:p>
    <w:p w:rsidR="00000000" w:rsidDel="00000000" w:rsidP="00000000" w:rsidRDefault="00000000" w:rsidRPr="00000000" w14:paraId="00000018">
      <w:pPr>
        <w:jc w:val="both"/>
        <w:rPr/>
      </w:pPr>
      <w:r w:rsidDel="00000000" w:rsidR="00000000" w:rsidRPr="00000000">
        <w:rPr>
          <w:rtl w:val="0"/>
        </w:rPr>
        <w:t xml:space="preserve">Euroopan unioni edistää EU-kansalaisten yhdenvertaisia mahdollisuuksia osallistua liikuntatoimintaan ja tukee liikuntajärjestöjä. EU tarjoaa mahdollisuuden </w:t>
      </w:r>
      <w:r w:rsidDel="00000000" w:rsidR="00000000" w:rsidRPr="00000000">
        <w:rPr>
          <w:rtl w:val="0"/>
        </w:rPr>
        <w:t xml:space="preserve">liikuntatoimijoiden</w:t>
      </w:r>
      <w:r w:rsidDel="00000000" w:rsidR="00000000" w:rsidRPr="00000000">
        <w:rPr>
          <w:rtl w:val="0"/>
        </w:rPr>
        <w:t xml:space="preserve"> yhteistyölle yli maarajojen. Tämä mahdollistaa esimerkiksi korkeakoulujen liikuntapalveluiden verkostoitumisen </w:t>
      </w:r>
      <w:r w:rsidDel="00000000" w:rsidR="00000000" w:rsidRPr="00000000">
        <w:rPr>
          <w:rtl w:val="0"/>
        </w:rPr>
        <w:t xml:space="preserve">sisartoimijoidensa</w:t>
      </w:r>
      <w:r w:rsidDel="00000000" w:rsidR="00000000" w:rsidRPr="00000000">
        <w:rPr>
          <w:rtl w:val="0"/>
        </w:rPr>
        <w:t xml:space="preserve"> kanssa sekä oman toiminnan kehittämisen.</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tabs>
          <w:tab w:val="left" w:leader="none" w:pos="1304"/>
          <w:tab w:val="left" w:leader="none" w:pos="2608"/>
          <w:tab w:val="left" w:leader="none" w:pos="3912"/>
          <w:tab w:val="left" w:leader="none" w:pos="5216"/>
          <w:tab w:val="left" w:leader="none" w:pos="6520"/>
          <w:tab w:val="left" w:leader="none" w:pos="7824"/>
          <w:tab w:val="left" w:leader="none" w:pos="9128"/>
        </w:tabs>
        <w:jc w:val="both"/>
        <w:rPr/>
      </w:pPr>
      <w:r w:rsidDel="00000000" w:rsidR="00000000" w:rsidRPr="00000000">
        <w:rPr>
          <w:rtl w:val="0"/>
        </w:rPr>
        <w:t xml:space="preserve">EU:lla on niin sanottu </w:t>
      </w:r>
      <w:r w:rsidDel="00000000" w:rsidR="00000000" w:rsidRPr="00000000">
        <w:rPr>
          <w:rtl w:val="0"/>
        </w:rPr>
        <w:t xml:space="preserve">tukitoimivalta</w:t>
      </w:r>
      <w:r w:rsidDel="00000000" w:rsidR="00000000" w:rsidRPr="00000000">
        <w:rPr>
          <w:rtl w:val="0"/>
        </w:rPr>
        <w:t xml:space="preserve"> eli se voi tukea, sovittaa yhteen ja täydentää jäsenvaltioiden </w:t>
      </w:r>
      <w:r w:rsidDel="00000000" w:rsidR="00000000" w:rsidRPr="00000000">
        <w:rPr>
          <w:rtl w:val="0"/>
        </w:rPr>
        <w:t xml:space="preserve">liikuntasektorin</w:t>
      </w:r>
      <w:r w:rsidDel="00000000" w:rsidR="00000000" w:rsidRPr="00000000">
        <w:rPr>
          <w:rtl w:val="0"/>
        </w:rPr>
        <w:t xml:space="preserve"> toimia liikunnan- ja urheilun alalla. Euroopan komissioon hyväksyi vuonna 2007 urheilun valkoisen kirjan, joka oli EU:n ensimmäinen urheilua koskeva poliittinen aloite. Valkoisessa kirjassa käsitellään useita tavoitteita mm. urheilun yhteiskunnallisen roolin korostaminen, kansanterveyden edistäminen liikunnan avulla, vapaaehtoistoiminnan tukeminen, urheilun taloudellisen ulottuvuuden ja pelaajien vapaan liikkuvuuden laajentaminen, dopingin, lahjonnan ja rahanpesun torjunta sekä mediaoikeuksien valvominen.</w:t>
      </w:r>
    </w:p>
    <w:p w:rsidR="00000000" w:rsidDel="00000000" w:rsidP="00000000" w:rsidRDefault="00000000" w:rsidRPr="00000000" w14:paraId="0000001B">
      <w:pPr>
        <w:tabs>
          <w:tab w:val="left" w:leader="none" w:pos="1304"/>
          <w:tab w:val="left" w:leader="none" w:pos="2608"/>
          <w:tab w:val="left" w:leader="none" w:pos="3912"/>
          <w:tab w:val="left" w:leader="none" w:pos="5216"/>
          <w:tab w:val="left" w:leader="none" w:pos="6520"/>
          <w:tab w:val="left" w:leader="none" w:pos="7824"/>
          <w:tab w:val="left" w:leader="none" w:pos="9128"/>
        </w:tabs>
        <w:rPr/>
      </w:pPr>
      <w:r w:rsidDel="00000000" w:rsidR="00000000" w:rsidRPr="00000000">
        <w:rPr>
          <w:rtl w:val="0"/>
        </w:rPr>
      </w:r>
    </w:p>
    <w:p w:rsidR="00000000" w:rsidDel="00000000" w:rsidP="00000000" w:rsidRDefault="00000000" w:rsidRPr="00000000" w14:paraId="0000001C">
      <w:pPr>
        <w:tabs>
          <w:tab w:val="left" w:leader="none" w:pos="1304"/>
          <w:tab w:val="left" w:leader="none" w:pos="2608"/>
          <w:tab w:val="left" w:leader="none" w:pos="3912"/>
          <w:tab w:val="left" w:leader="none" w:pos="5216"/>
          <w:tab w:val="left" w:leader="none" w:pos="6520"/>
          <w:tab w:val="left" w:leader="none" w:pos="7824"/>
          <w:tab w:val="left" w:leader="none" w:pos="9128"/>
        </w:tabs>
        <w:jc w:val="both"/>
        <w:rPr/>
      </w:pPr>
      <w:r w:rsidDel="00000000" w:rsidR="00000000" w:rsidRPr="00000000">
        <w:rPr>
          <w:rtl w:val="0"/>
        </w:rPr>
        <w:t xml:space="preserve">Sekä liikunnan keskeinen rooli fyysisen ja mielenterveyden ylläpidossa että liikkumattomuuden aiheuttamat mittavat terveysongelmat on tunnistettu Euroopan unionissa, esimerkiksi EU:n neuvoston päätelmissä elinikäisestä liikunnasta vuonna 2021. Päätelmissä korostetaan säännöllisen ja riittävän liikunnan tärkeyttä nuorten fyysiselle, psyykkiselle ja sosiaaliselle kehitykselle. </w:t>
      </w:r>
      <w:commentRangeStart w:id="0"/>
      <w:r w:rsidDel="00000000" w:rsidR="00000000" w:rsidRPr="00000000">
        <w:rPr>
          <w:rtl w:val="0"/>
        </w:rPr>
        <w:t xml:space="preserve">Vuonna 2015 liikkumattomuuden kustannuksiksi Euroopassa on arvioitu vuositasolla 80 miljardia euroa.</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D">
      <w:pPr>
        <w:tabs>
          <w:tab w:val="left" w:leader="none" w:pos="1304"/>
          <w:tab w:val="left" w:leader="none" w:pos="2608"/>
          <w:tab w:val="left" w:leader="none" w:pos="3912"/>
          <w:tab w:val="left" w:leader="none" w:pos="5216"/>
          <w:tab w:val="left" w:leader="none" w:pos="6520"/>
          <w:tab w:val="left" w:leader="none" w:pos="7824"/>
          <w:tab w:val="left" w:leader="none" w:pos="9128"/>
        </w:tabs>
        <w:jc w:val="both"/>
        <w:rPr/>
      </w:pPr>
      <w:r w:rsidDel="00000000" w:rsidR="00000000" w:rsidRPr="00000000">
        <w:rPr>
          <w:rtl w:val="0"/>
        </w:rPr>
      </w:r>
    </w:p>
    <w:p w:rsidR="00000000" w:rsidDel="00000000" w:rsidP="00000000" w:rsidRDefault="00000000" w:rsidRPr="00000000" w14:paraId="0000001E">
      <w:pPr>
        <w:tabs>
          <w:tab w:val="left" w:leader="none" w:pos="1304"/>
          <w:tab w:val="left" w:leader="none" w:pos="2608"/>
          <w:tab w:val="left" w:leader="none" w:pos="3912"/>
          <w:tab w:val="left" w:leader="none" w:pos="5216"/>
          <w:tab w:val="left" w:leader="none" w:pos="6520"/>
          <w:tab w:val="left" w:leader="none" w:pos="7824"/>
          <w:tab w:val="left" w:leader="none" w:pos="9128"/>
        </w:tabs>
        <w:jc w:val="both"/>
        <w:rPr/>
      </w:pPr>
      <w:r w:rsidDel="00000000" w:rsidR="00000000" w:rsidRPr="00000000">
        <w:rPr>
          <w:rtl w:val="0"/>
        </w:rPr>
        <w:t xml:space="preserve">Urheilualalle on laadittu EU:n urheilualan työsuunnitelma, joka on urheilupolitiikan tärkeimpiä asiakirjoja. </w:t>
      </w:r>
      <w:r w:rsidDel="00000000" w:rsidR="00000000" w:rsidRPr="00000000">
        <w:rPr>
          <w:rtl w:val="0"/>
        </w:rPr>
        <w:t xml:space="preserve">Vuosien 2021–2024 työsuunnitelmassa on kolme painopistealuetta – urheilun integriteetin ja arvojen suojeleminen, urheilun sosioekonomiset ja ympäristöön liittyvät ulottuvuudet sekä urheilun ja terveyttä edistävän liikunnan harrastamisen edistäminen – joista erityisesti viimeisen painoarvoa on syytä kasvattaa tulevalla vaalikaudella liikkumattomuuden vähentämiseksi.</w:t>
      </w:r>
      <w:r w:rsidDel="00000000" w:rsidR="00000000" w:rsidRPr="00000000">
        <w:rPr>
          <w:rtl w:val="0"/>
        </w:rPr>
        <w:t xml:space="preserve"> Uusi työsuunnitelma on tarkoitus hyväksyä jo Belgian puheenjohtajakaudella vuoden 2024 alkupuoliskolla. Puheenjohtajakauden agendalla on myös keskustella järjestäytymättömän urheilun ja ilmaisen liikunnan roolista eurooppalaisessa </w:t>
      </w:r>
      <w:r w:rsidDel="00000000" w:rsidR="00000000" w:rsidRPr="00000000">
        <w:rPr>
          <w:rtl w:val="0"/>
        </w:rPr>
        <w:t xml:space="preserve">urheilumallissa</w:t>
      </w:r>
      <w:r w:rsidDel="00000000" w:rsidR="00000000" w:rsidRPr="00000000">
        <w:rPr>
          <w:rtl w:val="0"/>
        </w:rPr>
        <w:t xml:space="preserve">.</w:t>
      </w:r>
    </w:p>
    <w:p w:rsidR="00000000" w:rsidDel="00000000" w:rsidP="00000000" w:rsidRDefault="00000000" w:rsidRPr="00000000" w14:paraId="0000001F">
      <w:pPr>
        <w:tabs>
          <w:tab w:val="left" w:leader="none" w:pos="1304"/>
          <w:tab w:val="left" w:leader="none" w:pos="2608"/>
          <w:tab w:val="left" w:leader="none" w:pos="3912"/>
          <w:tab w:val="left" w:leader="none" w:pos="5216"/>
          <w:tab w:val="left" w:leader="none" w:pos="6520"/>
          <w:tab w:val="left" w:leader="none" w:pos="7824"/>
          <w:tab w:val="left" w:leader="none" w:pos="9128"/>
        </w:tabs>
        <w:jc w:val="both"/>
        <w:rPr/>
      </w:pPr>
      <w:r w:rsidDel="00000000" w:rsidR="00000000" w:rsidRPr="00000000">
        <w:rPr>
          <w:rtl w:val="0"/>
        </w:rPr>
      </w:r>
    </w:p>
    <w:p w:rsidR="00000000" w:rsidDel="00000000" w:rsidP="00000000" w:rsidRDefault="00000000" w:rsidRPr="00000000" w14:paraId="00000020">
      <w:pPr>
        <w:tabs>
          <w:tab w:val="left" w:leader="none" w:pos="1304"/>
          <w:tab w:val="left" w:leader="none" w:pos="2608"/>
          <w:tab w:val="left" w:leader="none" w:pos="3912"/>
          <w:tab w:val="left" w:leader="none" w:pos="5216"/>
          <w:tab w:val="left" w:leader="none" w:pos="6520"/>
          <w:tab w:val="left" w:leader="none" w:pos="7824"/>
          <w:tab w:val="left" w:leader="none" w:pos="9128"/>
        </w:tabs>
        <w:jc w:val="both"/>
        <w:rPr/>
      </w:pPr>
      <w:r w:rsidDel="00000000" w:rsidR="00000000" w:rsidRPr="00000000">
        <w:rPr>
          <w:rtl w:val="0"/>
        </w:rPr>
        <w:t xml:space="preserve">Parlamentin alaisuudessa toimii kulttuuri- ja koulutusvaliokunta (CULT), jonka tehtäviin kuuluu EU:n urheilupolitiikan kehittäminen kulttuuri-, nuoriso- ja koulutuspolitiikan rinnalla lisäksi. Valiokunta vastaa myös Erasmus+-ohjelmasta.</w:t>
      </w:r>
    </w:p>
    <w:p w:rsidR="00000000" w:rsidDel="00000000" w:rsidP="00000000" w:rsidRDefault="00000000" w:rsidRPr="00000000" w14:paraId="00000021">
      <w:pPr>
        <w:tabs>
          <w:tab w:val="left" w:leader="none" w:pos="1304"/>
          <w:tab w:val="left" w:leader="none" w:pos="2608"/>
          <w:tab w:val="left" w:leader="none" w:pos="3912"/>
          <w:tab w:val="left" w:leader="none" w:pos="5216"/>
          <w:tab w:val="left" w:leader="none" w:pos="6520"/>
          <w:tab w:val="left" w:leader="none" w:pos="7824"/>
          <w:tab w:val="left" w:leader="none" w:pos="9128"/>
        </w:tabs>
        <w:jc w:val="both"/>
        <w:rPr>
          <w:rFonts w:ascii="Open Sans" w:cs="Open Sans" w:eastAsia="Open Sans" w:hAnsi="Open Sans"/>
          <w:color w:val="161616"/>
          <w:sz w:val="23"/>
          <w:szCs w:val="23"/>
        </w:rPr>
      </w:pPr>
      <w:r w:rsidDel="00000000" w:rsidR="00000000" w:rsidRPr="00000000">
        <w:rPr>
          <w:rtl w:val="0"/>
        </w:rPr>
      </w:r>
    </w:p>
    <w:p w:rsidR="00000000" w:rsidDel="00000000" w:rsidP="00000000" w:rsidRDefault="00000000" w:rsidRPr="00000000" w14:paraId="00000022">
      <w:pPr>
        <w:pStyle w:val="Heading2"/>
        <w:tabs>
          <w:tab w:val="left" w:leader="none" w:pos="1304"/>
          <w:tab w:val="left" w:leader="none" w:pos="2608"/>
          <w:tab w:val="left" w:leader="none" w:pos="3912"/>
          <w:tab w:val="left" w:leader="none" w:pos="5216"/>
          <w:tab w:val="left" w:leader="none" w:pos="6520"/>
          <w:tab w:val="left" w:leader="none" w:pos="7824"/>
          <w:tab w:val="left" w:leader="none" w:pos="9128"/>
        </w:tabs>
        <w:rPr/>
      </w:pPr>
      <w:bookmarkStart w:colFirst="0" w:colLast="0" w:name="_n9gj9tqookr" w:id="4"/>
      <w:bookmarkEnd w:id="4"/>
      <w:r w:rsidDel="00000000" w:rsidR="00000000" w:rsidRPr="00000000">
        <w:rPr>
          <w:rtl w:val="0"/>
        </w:rPr>
        <w:t xml:space="preserve">Liikunnan EU-rahoitus</w:t>
      </w:r>
    </w:p>
    <w:p w:rsidR="00000000" w:rsidDel="00000000" w:rsidP="00000000" w:rsidRDefault="00000000" w:rsidRPr="00000000" w14:paraId="00000023">
      <w:pPr>
        <w:jc w:val="both"/>
        <w:rPr/>
      </w:pPr>
      <w:r w:rsidDel="00000000" w:rsidR="00000000" w:rsidRPr="00000000">
        <w:rPr>
          <w:rtl w:val="0"/>
        </w:rPr>
        <w:t xml:space="preserve">Euroopan unioni tukee liikunnan ja urheilun hankkeita erilaisten rahoituskanavien kautta. Urheilu on olennainen osa Erasmus+ -ohjelmaa eli EU:n toimintaohjelmaa koulutuksen, nuorison ja urheilun aloilla. Nykyisessä vuosien 2021–2027 ohjelmassa osoitetaan 1,9 prosenttia kokonaisbudjetista urheiluun. Liikuntajärjestöille ja korkeakouluille liikunnan ja fyysisen aktiivisuuden edistämiseen tutuimpia EU-rahoituksia ovat Erasmus+Sport -ohjelma tai Erasmus+Nuorisoalan -ohjelma. Maaseutuohjelman LEADER+-rahoitukset, Euroopan Sosiaalirahasto ESR+ -rahoitukset ja Euroopan Aluekehitysrahasto EAKR -rahoitukset voivat olla korkeakouluille ja opiskelijajärjestöille myös tuttuja.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Kansainvälistä EU-rahoitusta voi saada, jos hankeidea vastaa johonkin EU:n liikunta- ja urheilupolitiikan painopisteeseen. Eu Policy Papers -asiakirjoilla on keskeinen merkitys Erasmus+Sport -rahoituksessa sekä muissa kansainvälisyyttä edellyttävissä EU-hankerahoituksissa.</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pStyle w:val="Heading2"/>
        <w:tabs>
          <w:tab w:val="left" w:leader="none" w:pos="1304"/>
          <w:tab w:val="left" w:leader="none" w:pos="2608"/>
          <w:tab w:val="left" w:leader="none" w:pos="3912"/>
          <w:tab w:val="left" w:leader="none" w:pos="5216"/>
          <w:tab w:val="left" w:leader="none" w:pos="6520"/>
          <w:tab w:val="left" w:leader="none" w:pos="7824"/>
          <w:tab w:val="left" w:leader="none" w:pos="9128"/>
        </w:tabs>
        <w:spacing w:after="300" w:line="312" w:lineRule="auto"/>
        <w:rPr/>
      </w:pPr>
      <w:bookmarkStart w:colFirst="0" w:colLast="0" w:name="_m2cp2oqwo8kw" w:id="5"/>
      <w:bookmarkEnd w:id="5"/>
      <w:r w:rsidDel="00000000" w:rsidR="00000000" w:rsidRPr="00000000">
        <w:rPr>
          <w:rtl w:val="0"/>
        </w:rPr>
        <w:t xml:space="preserve">Lähteitä</w:t>
      </w:r>
    </w:p>
    <w:p w:rsidR="00000000" w:rsidDel="00000000" w:rsidP="00000000" w:rsidRDefault="00000000" w:rsidRPr="00000000" w14:paraId="00000028">
      <w:pPr>
        <w:rPr/>
      </w:pPr>
      <w:hyperlink r:id="rId7">
        <w:r w:rsidDel="00000000" w:rsidR="00000000" w:rsidRPr="00000000">
          <w:rPr>
            <w:color w:val="1155cc"/>
            <w:u w:val="single"/>
            <w:rtl w:val="0"/>
          </w:rPr>
          <w:t xml:space="preserve">EU:n neuvoston päätelmät elinikäisestä liikunnasta (2021/C 501 I/01)</w:t>
        </w:r>
      </w:hyperlink>
      <w:r w:rsidDel="00000000" w:rsidR="00000000" w:rsidRPr="00000000">
        <w:rPr>
          <w:rtl w:val="0"/>
        </w:rPr>
      </w:r>
    </w:p>
    <w:p w:rsidR="00000000" w:rsidDel="00000000" w:rsidP="00000000" w:rsidRDefault="00000000" w:rsidRPr="00000000" w14:paraId="00000029">
      <w:pPr>
        <w:rPr>
          <w:vertAlign w:val="superscript"/>
        </w:rPr>
      </w:pPr>
      <w:hyperlink r:id="rId8">
        <w:r w:rsidDel="00000000" w:rsidR="00000000" w:rsidRPr="00000000">
          <w:rPr>
            <w:color w:val="1155cc"/>
            <w:u w:val="single"/>
            <w:rtl w:val="0"/>
          </w:rPr>
          <w:t xml:space="preserve">Centre for Economics and Business Research: The Economic Cost of Physical Inactivity in Europe (2015)</w:t>
        </w:r>
      </w:hyperlink>
      <w:r w:rsidDel="00000000" w:rsidR="00000000" w:rsidRPr="00000000">
        <w:rPr>
          <w:rtl w:val="0"/>
        </w:rPr>
      </w:r>
    </w:p>
    <w:p w:rsidR="00000000" w:rsidDel="00000000" w:rsidP="00000000" w:rsidRDefault="00000000" w:rsidRPr="00000000" w14:paraId="0000002A">
      <w:pPr>
        <w:rPr/>
      </w:pPr>
      <w:hyperlink r:id="rId9">
        <w:r w:rsidDel="00000000" w:rsidR="00000000" w:rsidRPr="00000000">
          <w:rPr>
            <w:color w:val="1155cc"/>
            <w:u w:val="single"/>
            <w:rtl w:val="0"/>
          </w:rPr>
          <w:t xml:space="preserve">EU:n neuvoston päätöslauselma Euroopan unionin urheilualan työsuunnitelmasta (2020/C 419/01)</w:t>
        </w:r>
      </w:hyperlink>
      <w:r w:rsidDel="00000000" w:rsidR="00000000" w:rsidRPr="00000000">
        <w:rPr>
          <w:rtl w:val="0"/>
        </w:rPr>
      </w:r>
    </w:p>
    <w:p w:rsidR="00000000" w:rsidDel="00000000" w:rsidP="00000000" w:rsidRDefault="00000000" w:rsidRPr="00000000" w14:paraId="0000002B">
      <w:pPr>
        <w:rPr/>
      </w:pPr>
      <w:hyperlink r:id="rId10">
        <w:r w:rsidDel="00000000" w:rsidR="00000000" w:rsidRPr="00000000">
          <w:rPr>
            <w:color w:val="1155cc"/>
            <w:u w:val="single"/>
            <w:rtl w:val="0"/>
          </w:rPr>
          <w:t xml:space="preserve">Euroopan unionin urheilua koskevat sivut</w:t>
        </w:r>
      </w:hyperlink>
      <w:r w:rsidDel="00000000" w:rsidR="00000000" w:rsidRPr="00000000">
        <w:rPr>
          <w:rtl w:val="0"/>
        </w:rPr>
      </w:r>
    </w:p>
    <w:p w:rsidR="00000000" w:rsidDel="00000000" w:rsidP="00000000" w:rsidRDefault="00000000" w:rsidRPr="00000000" w14:paraId="0000002C">
      <w:pPr>
        <w:rPr/>
      </w:pPr>
      <w:hyperlink r:id="rId11">
        <w:r w:rsidDel="00000000" w:rsidR="00000000" w:rsidRPr="00000000">
          <w:rPr>
            <w:color w:val="1155cc"/>
            <w:u w:val="single"/>
            <w:rtl w:val="0"/>
          </w:rPr>
          <w:t xml:space="preserve">Erasmus+Sport -ohjelma</w:t>
        </w:r>
      </w:hyperlink>
      <w:r w:rsidDel="00000000" w:rsidR="00000000" w:rsidRPr="00000000">
        <w:rPr>
          <w:rtl w:val="0"/>
        </w:rPr>
      </w:r>
    </w:p>
    <w:p w:rsidR="00000000" w:rsidDel="00000000" w:rsidP="00000000" w:rsidRDefault="00000000" w:rsidRPr="00000000" w14:paraId="0000002D">
      <w:pPr>
        <w:tabs>
          <w:tab w:val="left" w:leader="none" w:pos="1304"/>
          <w:tab w:val="left" w:leader="none" w:pos="2608"/>
          <w:tab w:val="left" w:leader="none" w:pos="3912"/>
          <w:tab w:val="left" w:leader="none" w:pos="5216"/>
          <w:tab w:val="left" w:leader="none" w:pos="6520"/>
          <w:tab w:val="left" w:leader="none" w:pos="7824"/>
          <w:tab w:val="left" w:leader="none" w:pos="9128"/>
        </w:tabs>
        <w:rPr/>
      </w:pPr>
      <w:hyperlink w:anchor="_m2cp2oqwo8kw">
        <w:r w:rsidDel="00000000" w:rsidR="00000000" w:rsidRPr="00000000">
          <w:rPr>
            <w:color w:val="1155cc"/>
            <w:u w:val="single"/>
            <w:rtl w:val="0"/>
          </w:rPr>
          <w:t xml:space="preserve">Valkoinen kirja urheilun - Valkoinen kirja</w:t>
        </w:r>
      </w:hyperlink>
      <w:r w:rsidDel="00000000" w:rsidR="00000000" w:rsidRPr="00000000">
        <w:rPr>
          <w:rtl w:val="0"/>
        </w:rPr>
      </w:r>
    </w:p>
    <w:p w:rsidR="00000000" w:rsidDel="00000000" w:rsidP="00000000" w:rsidRDefault="00000000" w:rsidRPr="00000000" w14:paraId="0000002E">
      <w:pPr>
        <w:rPr>
          <w:rFonts w:ascii="Arial" w:cs="Arial" w:eastAsia="Arial" w:hAnsi="Arial"/>
          <w:b w:val="1"/>
          <w:color w:val="0a0a0a"/>
        </w:rPr>
      </w:pPr>
      <w:hyperlink r:id="rId12">
        <w:r w:rsidDel="00000000" w:rsidR="00000000" w:rsidRPr="00000000">
          <w:rPr>
            <w:color w:val="1155cc"/>
            <w:u w:val="single"/>
            <w:rtl w:val="0"/>
          </w:rPr>
          <w:t xml:space="preserve">EU-eurot liikunnalle ja urheilulle 2021-2027</w:t>
        </w:r>
      </w:hyperlink>
      <w:r w:rsidDel="00000000" w:rsidR="00000000" w:rsidRPr="00000000">
        <w:rPr>
          <w:rtl w:val="0"/>
        </w:rPr>
      </w:r>
    </w:p>
    <w:p w:rsidR="00000000" w:rsidDel="00000000" w:rsidP="00000000" w:rsidRDefault="00000000" w:rsidRPr="00000000" w14:paraId="0000002F">
      <w:pPr>
        <w:rPr/>
      </w:pPr>
      <w:hyperlink r:id="rId13">
        <w:r w:rsidDel="00000000" w:rsidR="00000000" w:rsidRPr="00000000">
          <w:rPr>
            <w:color w:val="1155cc"/>
            <w:u w:val="single"/>
            <w:rtl w:val="0"/>
          </w:rPr>
          <w:t xml:space="preserve">Erasmus+Sport (Opetushallitus)</w:t>
        </w:r>
      </w:hyperlink>
      <w:r w:rsidDel="00000000" w:rsidR="00000000" w:rsidRPr="00000000">
        <w:rPr>
          <w:rtl w:val="0"/>
        </w:rPr>
      </w:r>
    </w:p>
    <w:p w:rsidR="00000000" w:rsidDel="00000000" w:rsidP="00000000" w:rsidRDefault="00000000" w:rsidRPr="00000000" w14:paraId="00000030">
      <w:pPr>
        <w:rPr/>
      </w:pPr>
      <w:hyperlink r:id="rId14">
        <w:r w:rsidDel="00000000" w:rsidR="00000000" w:rsidRPr="00000000">
          <w:rPr>
            <w:color w:val="1155cc"/>
            <w:u w:val="single"/>
            <w:rtl w:val="0"/>
          </w:rPr>
          <w:t xml:space="preserve">Document library (European Comission Sport) »</w:t>
        </w:r>
      </w:hyperlink>
      <w:r w:rsidDel="00000000" w:rsidR="00000000" w:rsidRPr="00000000">
        <w:rPr>
          <w:rtl w:val="0"/>
        </w:rPr>
        <w:t xml:space="preserve"> EU Sport Policy paper</w:t>
      </w:r>
      <w:r w:rsidDel="00000000" w:rsidR="00000000" w:rsidRPr="00000000">
        <w:rPr>
          <w:rtl w:val="0"/>
        </w:rPr>
      </w:r>
    </w:p>
    <w:p w:rsidR="00000000" w:rsidDel="00000000" w:rsidP="00000000" w:rsidRDefault="00000000" w:rsidRPr="00000000" w14:paraId="00000031">
      <w:pPr>
        <w:rPr/>
      </w:pPr>
      <w:hyperlink r:id="rId15">
        <w:r w:rsidDel="00000000" w:rsidR="00000000" w:rsidRPr="00000000">
          <w:rPr>
            <w:color w:val="1155cc"/>
            <w:u w:val="single"/>
            <w:rtl w:val="0"/>
          </w:rPr>
          <w:t xml:space="preserve">Laajennettu urheilun osasopimus (EPAS)</w:t>
        </w:r>
      </w:hyperlink>
      <w:hyperlink r:id="rId16">
        <w:r w:rsidDel="00000000" w:rsidR="00000000" w:rsidRPr="00000000">
          <w:rPr>
            <w:color w:val="1155cc"/>
            <w:u w:val="single"/>
            <w:rtl w:val="0"/>
          </w:rPr>
          <w:t xml:space="preserve">Opetus- ja kulttuuriministeriön  kansainvälinen liikuntapolitiikka</w:t>
        </w:r>
      </w:hyperlink>
      <w:r w:rsidDel="00000000" w:rsidR="00000000" w:rsidRPr="00000000">
        <w:rPr>
          <w:rtl w:val="0"/>
        </w:rPr>
      </w:r>
    </w:p>
    <w:p w:rsidR="00000000" w:rsidDel="00000000" w:rsidP="00000000" w:rsidRDefault="00000000" w:rsidRPr="00000000" w14:paraId="00000032">
      <w:pPr>
        <w:rPr>
          <w:rFonts w:ascii="Arial" w:cs="Arial" w:eastAsia="Arial" w:hAnsi="Arial"/>
          <w:b w:val="1"/>
          <w:color w:val="0a0a0a"/>
        </w:rPr>
      </w:pPr>
      <w:hyperlink r:id="rId17">
        <w:r w:rsidDel="00000000" w:rsidR="00000000" w:rsidRPr="00000000">
          <w:rPr>
            <w:color w:val="1155cc"/>
            <w:u w:val="single"/>
            <w:rtl w:val="0"/>
          </w:rPr>
          <w:t xml:space="preserve">Olympiakomitean tietopaketti kansanedustajalle</w:t>
        </w:r>
      </w:hyperlink>
      <w:r w:rsidDel="00000000" w:rsidR="00000000" w:rsidRPr="00000000">
        <w:rPr>
          <w:rtl w:val="0"/>
        </w:rPr>
      </w:r>
    </w:p>
    <w:sectPr>
      <w:headerReference r:id="rId18" w:type="default"/>
      <w:headerReference r:id="rId19" w:type="first"/>
      <w:footerReference r:id="rId20" w:type="default"/>
      <w:footerReference r:id="rId21" w:type="first"/>
      <w:pgSz w:h="16834" w:w="11909" w:orient="portrait"/>
      <w:pgMar w:bottom="1440" w:top="1440" w:left="1440" w:right="1440" w:header="720" w:footer="720"/>
      <w:pgNumType w:start="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Deleted user" w:id="0" w:date="2024-04-25T09:22:17Z">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Onko kellään tullut vastaan mitään tuoreempaa arviota tästä?</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widowControl w:val="0"/>
      <w:tabs>
        <w:tab w:val="center" w:leader="none" w:pos="4819"/>
        <w:tab w:val="right" w:leader="none" w:pos="9638"/>
      </w:tabs>
      <w:spacing w:line="276" w:lineRule="auto"/>
      <w:rPr>
        <w:sz w:val="18"/>
        <w:szCs w:val="18"/>
      </w:rPr>
    </w:pPr>
    <w:r w:rsidDel="00000000" w:rsidR="00000000" w:rsidRPr="00000000">
      <w:rPr>
        <w:rtl w:val="0"/>
      </w:rPr>
    </w:r>
  </w:p>
  <w:p w:rsidR="00000000" w:rsidDel="00000000" w:rsidP="00000000" w:rsidRDefault="00000000" w:rsidRPr="00000000" w14:paraId="00000034">
    <w:pPr>
      <w:widowControl w:val="0"/>
      <w:tabs>
        <w:tab w:val="right" w:leader="none" w:pos="9768"/>
      </w:tabs>
      <w:spacing w:line="276" w:lineRule="auto"/>
      <w:rPr>
        <w:b w:val="1"/>
        <w:color w:val="065f7c"/>
        <w:sz w:val="18"/>
        <w:szCs w:val="18"/>
      </w:rPr>
    </w:pPr>
    <w:r w:rsidDel="00000000" w:rsidR="00000000" w:rsidRPr="00000000">
      <w:rPr>
        <w:b w:val="1"/>
        <w:color w:val="065f7c"/>
        <w:sz w:val="18"/>
        <w:szCs w:val="18"/>
        <w:rtl w:val="0"/>
      </w:rPr>
      <w:t xml:space="preserve">Opiskelijoiden Liikuntaliitto ry (OLL)</w:t>
      <w:tab/>
      <w:t xml:space="preserve">Valimotie 10, FI-00380 Helsinki</w:t>
    </w:r>
  </w:p>
  <w:p w:rsidR="00000000" w:rsidDel="00000000" w:rsidP="00000000" w:rsidRDefault="00000000" w:rsidRPr="00000000" w14:paraId="00000035">
    <w:pPr>
      <w:widowControl w:val="0"/>
      <w:tabs>
        <w:tab w:val="right" w:leader="none" w:pos="9768"/>
      </w:tabs>
      <w:spacing w:line="276" w:lineRule="auto"/>
      <w:rPr>
        <w:b w:val="1"/>
        <w:color w:val="065f7c"/>
        <w:sz w:val="18"/>
        <w:szCs w:val="18"/>
      </w:rPr>
    </w:pPr>
    <w:r w:rsidDel="00000000" w:rsidR="00000000" w:rsidRPr="00000000">
      <w:rPr>
        <w:b w:val="1"/>
        <w:color w:val="065f7c"/>
        <w:sz w:val="18"/>
        <w:szCs w:val="18"/>
        <w:rtl w:val="0"/>
      </w:rPr>
      <w:t xml:space="preserve">Studerandenas Idrottsförbund rf.</w:t>
      <w:tab/>
      <w:t xml:space="preserve">e-mail: oll@oll.fi</w:t>
    </w:r>
  </w:p>
  <w:p w:rsidR="00000000" w:rsidDel="00000000" w:rsidP="00000000" w:rsidRDefault="00000000" w:rsidRPr="00000000" w14:paraId="00000036">
    <w:pPr>
      <w:widowControl w:val="0"/>
      <w:tabs>
        <w:tab w:val="right" w:leader="none" w:pos="9768"/>
      </w:tabs>
      <w:spacing w:after="200" w:line="276" w:lineRule="auto"/>
      <w:rPr>
        <w:b w:val="1"/>
        <w:color w:val="065f7c"/>
        <w:sz w:val="18"/>
        <w:szCs w:val="18"/>
      </w:rPr>
    </w:pPr>
    <w:r w:rsidDel="00000000" w:rsidR="00000000" w:rsidRPr="00000000">
      <w:rPr>
        <w:b w:val="1"/>
        <w:color w:val="065f7c"/>
        <w:sz w:val="18"/>
        <w:szCs w:val="18"/>
        <w:rtl w:val="0"/>
      </w:rPr>
      <w:t xml:space="preserve">Finnish Student Sports Federation</w:t>
      <w:tab/>
      <w:t xml:space="preserve"> www.oll.fi</w:t>
    </w:r>
  </w:p>
  <w:p w:rsidR="00000000" w:rsidDel="00000000" w:rsidP="00000000" w:rsidRDefault="00000000" w:rsidRPr="00000000" w14:paraId="00000037">
    <w:pPr>
      <w:widowControl w:val="0"/>
      <w:tabs>
        <w:tab w:val="right" w:leader="none" w:pos="9768"/>
      </w:tabs>
      <w:spacing w:line="276" w:lineRule="auto"/>
      <w:rPr>
        <w:b w:val="1"/>
        <w:color w:val="065f7c"/>
        <w:sz w:val="18"/>
        <w:szCs w:val="18"/>
      </w:rPr>
    </w:pPr>
    <w:r w:rsidDel="00000000" w:rsidR="00000000" w:rsidRPr="00000000">
      <w:rPr>
        <w:sz w:val="22"/>
        <w:szCs w:val="22"/>
      </w:rPr>
      <w:fldChar w:fldCharType="begin"/>
      <w:instrText xml:space="preserve">PAGE</w:instrText>
      <w:fldChar w:fldCharType="separate"/>
      <w:fldChar w:fldCharType="end"/>
    </w:r>
    <w:r w:rsidDel="00000000" w:rsidR="00000000" w:rsidRPr="00000000">
      <w:rPr>
        <w:sz w:val="22"/>
        <w:szCs w:val="22"/>
        <w:rtl w:val="0"/>
      </w:rPr>
      <w:t xml:space="preserve"> / </w:t>
    </w:r>
    <w:r w:rsidDel="00000000" w:rsidR="00000000" w:rsidRPr="00000000">
      <w:rPr>
        <w:sz w:val="22"/>
        <w:szCs w:val="22"/>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tabs>
        <w:tab w:val="center" w:leader="none" w:pos="4819"/>
        <w:tab w:val="right" w:leader="none" w:pos="9638"/>
      </w:tabs>
      <w:spacing w:line="276" w:lineRule="auto"/>
      <w:jc w:val="right"/>
      <w:rPr/>
    </w:pPr>
    <w:r w:rsidDel="00000000" w:rsidR="00000000" w:rsidRPr="00000000">
      <w:rPr>
        <w:rtl w:val="0"/>
      </w:rPr>
      <w:tab/>
      <w:tab/>
      <w:t xml:space="preserve">MUISTIO</w:t>
    </w:r>
    <w:r w:rsidDel="00000000" w:rsidR="00000000" w:rsidRPr="00000000">
      <w:drawing>
        <wp:anchor allowOverlap="1" behindDoc="0" distB="114300" distT="114300" distL="114300" distR="114300" hidden="0" layoutInCell="1" locked="0" relativeHeight="0" simplePos="0">
          <wp:simplePos x="0" y="0"/>
          <wp:positionH relativeFrom="column">
            <wp:posOffset>52869</wp:posOffset>
          </wp:positionH>
          <wp:positionV relativeFrom="paragraph">
            <wp:posOffset>1</wp:posOffset>
          </wp:positionV>
          <wp:extent cx="940117" cy="919380"/>
          <wp:effectExtent b="0" l="0" r="0" t="0"/>
          <wp:wrapSquare wrapText="bothSides" distB="114300" distT="114300" distL="114300" distR="114300"/>
          <wp:docPr descr="-" id="1" name="image1.png"/>
          <a:graphic>
            <a:graphicData uri="http://schemas.openxmlformats.org/drawingml/2006/picture">
              <pic:pic>
                <pic:nvPicPr>
                  <pic:cNvPr descr="-" id="0" name="image1.png"/>
                  <pic:cNvPicPr preferRelativeResize="0"/>
                </pic:nvPicPr>
                <pic:blipFill>
                  <a:blip r:embed="rId1"/>
                  <a:srcRect b="0" l="0" r="0" t="0"/>
                  <a:stretch>
                    <a:fillRect/>
                  </a:stretch>
                </pic:blipFill>
                <pic:spPr>
                  <a:xfrm>
                    <a:off x="0" y="0"/>
                    <a:ext cx="940117" cy="919380"/>
                  </a:xfrm>
                  <a:prstGeom prst="rect"/>
                  <a:ln/>
                </pic:spPr>
              </pic:pic>
            </a:graphicData>
          </a:graphic>
        </wp:anchor>
      </w:drawing>
    </w:r>
  </w:p>
  <w:p w:rsidR="00000000" w:rsidDel="00000000" w:rsidP="00000000" w:rsidRDefault="00000000" w:rsidRPr="00000000" w14:paraId="0000003A">
    <w:pPr>
      <w:tabs>
        <w:tab w:val="left" w:leader="none" w:pos="7230"/>
      </w:tabs>
      <w:spacing w:line="276" w:lineRule="auto"/>
      <w:jc w:val="right"/>
      <w:rPr/>
    </w:pPr>
    <w:r w:rsidDel="00000000" w:rsidR="00000000" w:rsidRPr="00000000">
      <w:rPr>
        <w:rtl w:val="0"/>
      </w:rPr>
      <w:t xml:space="preserve">x.x.2024</w:t>
    </w:r>
  </w:p>
  <w:p w:rsidR="00000000" w:rsidDel="00000000" w:rsidP="00000000" w:rsidRDefault="00000000" w:rsidRPr="00000000" w14:paraId="0000003B">
    <w:pPr>
      <w:tabs>
        <w:tab w:val="left" w:leader="none" w:pos="7230"/>
      </w:tabs>
      <w:spacing w:line="276" w:lineRule="auto"/>
      <w:jc w:val="right"/>
      <w:rPr/>
    </w:pPr>
    <w:r w:rsidDel="00000000" w:rsidR="00000000" w:rsidRPr="00000000">
      <w:rPr>
        <w:rtl w:val="0"/>
      </w:rPr>
    </w:r>
  </w:p>
  <w:p w:rsidR="00000000" w:rsidDel="00000000" w:rsidP="00000000" w:rsidRDefault="00000000" w:rsidRPr="00000000" w14:paraId="0000003C">
    <w:pPr>
      <w:tabs>
        <w:tab w:val="left" w:leader="none" w:pos="7230"/>
      </w:tabs>
      <w:spacing w:line="276" w:lineRule="auto"/>
      <w:jc w:val="right"/>
      <w:rPr/>
    </w:pPr>
    <w:r w:rsidDel="00000000" w:rsidR="00000000" w:rsidRPr="00000000">
      <w:rPr>
        <w:rtl w:val="0"/>
      </w:rPr>
    </w:r>
  </w:p>
  <w:p w:rsidR="00000000" w:rsidDel="00000000" w:rsidP="00000000" w:rsidRDefault="00000000" w:rsidRPr="00000000" w14:paraId="0000003D">
    <w:pPr>
      <w:tabs>
        <w:tab w:val="left" w:leader="none" w:pos="7230"/>
      </w:tabs>
      <w:spacing w:line="276" w:lineRule="auto"/>
      <w:jc w:val="right"/>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tabs>
        <w:tab w:val="center" w:leader="none" w:pos="4819"/>
        <w:tab w:val="right" w:leader="none" w:pos="9638"/>
      </w:tabs>
      <w:spacing w:line="276" w:lineRule="auto"/>
      <w:jc w:val="right"/>
      <w:rPr/>
    </w:pPr>
    <w:r w:rsidDel="00000000" w:rsidR="00000000" w:rsidRPr="00000000">
      <w:rPr>
        <w:rtl w:val="0"/>
      </w:rPr>
      <w:tab/>
      <w:tab/>
      <w:t xml:space="preserve">MUISTIO</w:t>
    </w:r>
    <w:r w:rsidDel="00000000" w:rsidR="00000000" w:rsidRPr="00000000">
      <w:drawing>
        <wp:anchor allowOverlap="1" behindDoc="0" distB="114300" distT="114300" distL="114300" distR="114300" hidden="0" layoutInCell="1" locked="0" relativeHeight="0" simplePos="0">
          <wp:simplePos x="0" y="0"/>
          <wp:positionH relativeFrom="column">
            <wp:posOffset>52869</wp:posOffset>
          </wp:positionH>
          <wp:positionV relativeFrom="paragraph">
            <wp:posOffset>1</wp:posOffset>
          </wp:positionV>
          <wp:extent cx="772851" cy="757238"/>
          <wp:effectExtent b="0" l="0" r="0" t="0"/>
          <wp:wrapSquare wrapText="bothSides" distB="114300" distT="114300" distL="114300" distR="114300"/>
          <wp:docPr descr="-" id="2" name="image1.png"/>
          <a:graphic>
            <a:graphicData uri="http://schemas.openxmlformats.org/drawingml/2006/picture">
              <pic:pic>
                <pic:nvPicPr>
                  <pic:cNvPr descr="-" id="0" name="image1.png"/>
                  <pic:cNvPicPr preferRelativeResize="0"/>
                </pic:nvPicPr>
                <pic:blipFill>
                  <a:blip r:embed="rId1"/>
                  <a:srcRect b="0" l="0" r="0" t="0"/>
                  <a:stretch>
                    <a:fillRect/>
                  </a:stretch>
                </pic:blipFill>
                <pic:spPr>
                  <a:xfrm>
                    <a:off x="0" y="0"/>
                    <a:ext cx="772851" cy="757238"/>
                  </a:xfrm>
                  <a:prstGeom prst="rect"/>
                  <a:ln/>
                </pic:spPr>
              </pic:pic>
            </a:graphicData>
          </a:graphic>
        </wp:anchor>
      </w:drawing>
    </w:r>
  </w:p>
  <w:p w:rsidR="00000000" w:rsidDel="00000000" w:rsidP="00000000" w:rsidRDefault="00000000" w:rsidRPr="00000000" w14:paraId="00000040">
    <w:pPr>
      <w:tabs>
        <w:tab w:val="left" w:leader="none" w:pos="7230"/>
      </w:tabs>
      <w:spacing w:line="276" w:lineRule="auto"/>
      <w:jc w:val="right"/>
      <w:rPr/>
    </w:pPr>
    <w:r w:rsidDel="00000000" w:rsidR="00000000" w:rsidRPr="00000000">
      <w:rPr>
        <w:rtl w:val="0"/>
      </w:rPr>
      <w:t xml:space="preserve">9.4.</w:t>
    </w:r>
    <w:r w:rsidDel="00000000" w:rsidR="00000000" w:rsidRPr="00000000">
      <w:rPr>
        <w:rtl w:val="0"/>
      </w:rPr>
      <w:t xml:space="preserve">2024</w:t>
    </w:r>
  </w:p>
  <w:p w:rsidR="00000000" w:rsidDel="00000000" w:rsidP="00000000" w:rsidRDefault="00000000" w:rsidRPr="00000000" w14:paraId="00000041">
    <w:pPr>
      <w:tabs>
        <w:tab w:val="left" w:leader="none" w:pos="7230"/>
      </w:tabs>
      <w:spacing w:line="276" w:lineRule="auto"/>
      <w:jc w:val="right"/>
      <w:rPr/>
    </w:pPr>
    <w:r w:rsidDel="00000000" w:rsidR="00000000" w:rsidRPr="00000000">
      <w:rPr>
        <w:rtl w:val="0"/>
      </w:rPr>
    </w:r>
  </w:p>
  <w:p w:rsidR="00000000" w:rsidDel="00000000" w:rsidP="00000000" w:rsidRDefault="00000000" w:rsidRPr="00000000" w14:paraId="00000042">
    <w:pPr>
      <w:tabs>
        <w:tab w:val="left" w:leader="none" w:pos="7230"/>
      </w:tabs>
      <w:spacing w:line="276" w:lineRule="auto"/>
      <w:jc w:val="right"/>
      <w:rPr/>
    </w:pPr>
    <w:r w:rsidDel="00000000" w:rsidR="00000000" w:rsidRPr="00000000">
      <w:rPr>
        <w:rtl w:val="0"/>
      </w:rPr>
    </w:r>
  </w:p>
  <w:p w:rsidR="00000000" w:rsidDel="00000000" w:rsidP="00000000" w:rsidRDefault="00000000" w:rsidRPr="00000000" w14:paraId="00000043">
    <w:pPr>
      <w:tabs>
        <w:tab w:val="left" w:leader="none" w:pos="7230"/>
      </w:tabs>
      <w:spacing w:line="276" w:lineRule="auto"/>
      <w:jc w:val="right"/>
      <w:rPr/>
    </w:pPr>
    <w:r w:rsidDel="00000000" w:rsidR="00000000" w:rsidRPr="00000000">
      <w:rPr>
        <w:rtl w:val="0"/>
      </w:rPr>
    </w:r>
  </w:p>
  <w:p w:rsidR="00000000" w:rsidDel="00000000" w:rsidP="00000000" w:rsidRDefault="00000000" w:rsidRPr="00000000" w14:paraId="00000044">
    <w:pPr>
      <w:spacing w:line="276"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sz w:val="22"/>
        <w:szCs w:val="22"/>
        <w:lang w:val="fi"/>
      </w:rPr>
    </w:rPrDefault>
    <w:pPrDefault>
      <w:pPr>
        <w:tabs>
          <w:tab w:val="left" w:leader="none" w:pos="1304"/>
          <w:tab w:val="left" w:leader="none" w:pos="2608"/>
          <w:tab w:val="left" w:leader="none" w:pos="3912"/>
          <w:tab w:val="left" w:leader="none" w:pos="5216"/>
          <w:tab w:val="left" w:leader="none" w:pos="6520"/>
          <w:tab w:val="left" w:leader="none" w:pos="7824"/>
          <w:tab w:val="left" w:leader="none" w:pos="9128"/>
        </w:tabs>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line="360" w:lineRule="auto"/>
    </w:pPr>
    <w:rPr>
      <w:rFonts w:ascii="Lato Black" w:cs="Lato Black" w:eastAsia="Lato Black" w:hAnsi="Lato Black"/>
      <w:color w:val="065f7c"/>
      <w:sz w:val="48"/>
      <w:szCs w:val="48"/>
    </w:rPr>
  </w:style>
  <w:style w:type="paragraph" w:styleId="Heading2">
    <w:name w:val="heading 2"/>
    <w:basedOn w:val="Normal"/>
    <w:next w:val="Normal"/>
    <w:pPr>
      <w:keepNext w:val="1"/>
      <w:keepLines w:val="1"/>
      <w:spacing w:after="200" w:line="360" w:lineRule="auto"/>
    </w:pPr>
    <w:rPr>
      <w:rFonts w:ascii="Lato" w:cs="Lato" w:eastAsia="Lato" w:hAnsi="Lato"/>
      <w:b w:val="1"/>
      <w:sz w:val="36"/>
      <w:szCs w:val="36"/>
    </w:rPr>
  </w:style>
  <w:style w:type="paragraph" w:styleId="Heading3">
    <w:name w:val="heading 3"/>
    <w:basedOn w:val="Normal"/>
    <w:next w:val="Normal"/>
    <w:pPr>
      <w:keepNext w:val="1"/>
      <w:keepLines w:val="1"/>
      <w:spacing w:line="360" w:lineRule="auto"/>
    </w:pPr>
    <w:rPr>
      <w:rFonts w:ascii="Lato" w:cs="Lato" w:eastAsia="Lato" w:hAnsi="Lato"/>
      <w:b w:val="1"/>
      <w:color w:val="065f7c"/>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line="360" w:lineRule="auto"/>
    </w:pPr>
    <w:rPr>
      <w:rFonts w:ascii="Lato Black" w:cs="Lato Black" w:eastAsia="Lato Black" w:hAnsi="Lato Black"/>
      <w:color w:val="065f7c"/>
      <w:sz w:val="60"/>
      <w:szCs w:val="60"/>
    </w:rPr>
  </w:style>
  <w:style w:type="paragraph" w:styleId="Subtitle">
    <w:name w:val="Subtitle"/>
    <w:basedOn w:val="Normal"/>
    <w:next w:val="Normal"/>
    <w:pPr>
      <w:keepNext w:val="1"/>
      <w:keepLines w:val="1"/>
    </w:pPr>
    <w:rPr>
      <w:b w:val="1"/>
      <w:sz w:val="36"/>
      <w:szCs w:val="36"/>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www.cimo.fi/ohjelmat/erasmusplus/liikunnalle_ja_urheilulle" TargetMode="External"/><Relationship Id="rId10" Type="http://schemas.openxmlformats.org/officeDocument/2006/relationships/hyperlink" Target="https://ec.europa.eu/sport/" TargetMode="External"/><Relationship Id="rId21" Type="http://schemas.openxmlformats.org/officeDocument/2006/relationships/footer" Target="footer2.xml"/><Relationship Id="rId13" Type="http://schemas.openxmlformats.org/officeDocument/2006/relationships/hyperlink" Target="https://www.oph.fi/fi/kehittaminen-ja-kansainvalisyys/erasmus-ohjelma-2021-2027/erasmus-liikunnalle-ja-urheilulle-sport" TargetMode="External"/><Relationship Id="rId12" Type="http://schemas.openxmlformats.org/officeDocument/2006/relationships/hyperlink" Target="https://bin.yhdistysavain.fi/1598889/BYmQ21Djahd2d7m1h7660YKcI3/2021-2027_LIIKUNTA-%20JA%20URHEILUV%C3%84KI%20EU-RAHOITUSTEN%20%C3%84%C3%84RELL%C3%84%20WEB.pdf"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eur-lex.europa.eu/legal-content/FI/TXT/PDF/?uri=CELEX:42020Y1204(01)" TargetMode="External"/><Relationship Id="rId15" Type="http://schemas.openxmlformats.org/officeDocument/2006/relationships/hyperlink" Target="http://www.coe.int/t/DG4/EPAS/default_en.asp" TargetMode="External"/><Relationship Id="rId14" Type="http://schemas.openxmlformats.org/officeDocument/2006/relationships/hyperlink" Target="https://sport.ec.europa.eu/policies/documents?facets__field_eac_topics=209" TargetMode="External"/><Relationship Id="rId17" Type="http://schemas.openxmlformats.org/officeDocument/2006/relationships/hyperlink" Target="https://www.olympiakomitea.fi/uploads/sites/1/2023/12/940f8970-liikunnan-ja-urheilun-tietopaketti-kansanedustajalle-12-23.pdf" TargetMode="External"/><Relationship Id="rId16" Type="http://schemas.openxmlformats.org/officeDocument/2006/relationships/hyperlink" Target="https://okm.fi/liikunta/kansainvalinen-toiminta-ja-eu" TargetMode="External"/><Relationship Id="rId5" Type="http://schemas.openxmlformats.org/officeDocument/2006/relationships/numbering" Target="numbering.xml"/><Relationship Id="rId19" Type="http://schemas.openxmlformats.org/officeDocument/2006/relationships/header" Target="header1.xml"/><Relationship Id="rId6" Type="http://schemas.openxmlformats.org/officeDocument/2006/relationships/styles" Target="styles.xml"/><Relationship Id="rId18" Type="http://schemas.openxmlformats.org/officeDocument/2006/relationships/header" Target="header2.xml"/><Relationship Id="rId7" Type="http://schemas.openxmlformats.org/officeDocument/2006/relationships/hyperlink" Target="https://eur-lex.europa.eu/legal-content/FI/TXT/PDF/?uri=OJ:C:2021:501I:FULL&amp;from=EN" TargetMode="External"/><Relationship Id="rId8" Type="http://schemas.openxmlformats.org/officeDocument/2006/relationships/hyperlink" Target="https://cebr.com/reports/the-costs-of-inactivity-in-europ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LatoBlack-bold.ttf"/><Relationship Id="rId6" Type="http://schemas.openxmlformats.org/officeDocument/2006/relationships/font" Target="fonts/LatoBlack-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